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09" w:rsidRDefault="003F799B" w:rsidP="003F799B">
      <w:pPr>
        <w:jc w:val="center"/>
      </w:pPr>
      <w:r>
        <w:t>ТЕМАТИКА КОНТРОЛЬНЫХ РАБОТ</w:t>
      </w:r>
    </w:p>
    <w:p w:rsidR="003F799B" w:rsidRDefault="003F799B" w:rsidP="003F799B">
      <w:pPr>
        <w:jc w:val="center"/>
      </w:pPr>
      <w:r>
        <w:t>(тема выбирается по последней цифре шифра</w:t>
      </w:r>
      <w:r w:rsidR="004E021C">
        <w:t xml:space="preserve"> зачетной книжки</w:t>
      </w:r>
      <w:proofErr w:type="gramStart"/>
      <w:r w:rsidR="004E021C">
        <w:t>.</w:t>
      </w:r>
      <w:proofErr w:type="gramEnd"/>
      <w:r>
        <w:t xml:space="preserve"> </w:t>
      </w:r>
      <w:proofErr w:type="gramStart"/>
      <w:r w:rsidR="004E021C">
        <w:t>Н</w:t>
      </w:r>
      <w:r>
        <w:t xml:space="preserve">апример, если цифра 3, то на выбор одна из тем, номер которой заканчивается </w:t>
      </w:r>
      <w:r w:rsidR="004E021C">
        <w:t xml:space="preserve">на </w:t>
      </w:r>
      <w:r>
        <w:t xml:space="preserve">3, т.е. 3, 13, 23, 33, 43, 53, 63) </w:t>
      </w:r>
      <w:proofErr w:type="gramEnd"/>
    </w:p>
    <w:p w:rsidR="003F799B" w:rsidRDefault="003F799B" w:rsidP="00AA1C39">
      <w:pPr>
        <w:rPr>
          <w:sz w:val="20"/>
          <w:szCs w:val="20"/>
        </w:rPr>
      </w:pP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1.  Специфика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2.  Коммуникативные барьеры в общении.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3.  Перцептивный аспект деловой коммуникации.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4.  Интерактивный аспект деловой коммуникации.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5.  Речевые технологии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6.  Невербальные средства общения и их использование в бизнесе.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 xml:space="preserve">7.  Сознательное и бессознательное в </w:t>
      </w:r>
      <w:proofErr w:type="spellStart"/>
      <w:r w:rsidRPr="001A24C9">
        <w:rPr>
          <w:sz w:val="20"/>
          <w:szCs w:val="20"/>
        </w:rPr>
        <w:t>невербалике</w:t>
      </w:r>
      <w:proofErr w:type="spellEnd"/>
      <w:r w:rsidRPr="001A24C9">
        <w:rPr>
          <w:sz w:val="20"/>
          <w:szCs w:val="20"/>
        </w:rPr>
        <w:t>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8.  Виды делового общения в рекламном бизнесе и их характеристика.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9.  Общие требования к деловой беседе и ее структура.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10.  Методика подготовки и проведения деловых бесед.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11.  Деловое совещание как один из видов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12.  Виды деловых совещаний и их характеристика.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13.  Основные этапы подготовки к деловым переговорам.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14.  Структура переговоров и основные требования к руководителю в ходе их проведения.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15.  Правила делового общения по телефону.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16.  Профессиональные качества ведущего совещание и стили его руководства.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17.  Общее и особенное в структуре брифинга и пресс-конференции.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13.  Классификация деловой корреспонденции и общие требования к деловым письмам.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14.  Причины возникновения конфликта в деловых коммуникациях</w:t>
      </w:r>
      <w:proofErr w:type="gramStart"/>
      <w:r w:rsidRPr="001A24C9">
        <w:rPr>
          <w:sz w:val="20"/>
          <w:szCs w:val="20"/>
        </w:rPr>
        <w:t>..</w:t>
      </w:r>
      <w:proofErr w:type="gramEnd"/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15.  Структура и динамика конфликта.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16.  Типы конфликтной личности и пути разрешения конфликта с ней.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17.  Стили поведения участников в конфликтной ситуации.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18.  Содержание понятия «деловой протокол», его составляющие.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19.  Организация подготовки переговоров принимающей стороной.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20.  Правила ведения телефонных переговоров и их записи.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21.  Стратегия и тактика проведения переговоров.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22.  Требования к культуре деловой речи.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23.  Нравственная основа делового этикета.</w:t>
      </w:r>
    </w:p>
    <w:p w:rsidR="00AA1C39" w:rsidRPr="001A24C9" w:rsidRDefault="00AA1C39" w:rsidP="00AA1C39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1A24C9">
        <w:rPr>
          <w:sz w:val="20"/>
          <w:szCs w:val="20"/>
        </w:rPr>
        <w:t>24.  Гендерные стереотипы и жизненный путь как факторы формирования навыков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25.  Управленческая этика, корпоративная этика, корпоративные кодексы.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26.  Основные требования к записи бесед (переговоров).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27.  Порядок проведения деловых визитов и бесед.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28.  Различие между позициями и интересами на переговорах. Метод совместного рассмотрения проблемы.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29.  Классификация приемов. Виды деловых приемов.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30.  Психологические аспекты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31.  Этические нормы при вручении подарков.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32.  Организационное и протокольное обеспечение переговоров.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33.  Порядок рассылки приглашений и ответа на них.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34.  Подготовка и планирование переговоров.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35.  Сферы и порядок использования в деловом общении визитных карточек.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36.  Некоторые тактические приемы ведения переговоров. Методы подготовки: деловая игра, составление балансных листов и “мозговая атака”.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37.  Основы деловой этики в современном бизнесе. Хартия бизнеса России.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 xml:space="preserve">38.  </w:t>
      </w:r>
      <w:r>
        <w:rPr>
          <w:sz w:val="20"/>
          <w:szCs w:val="20"/>
        </w:rPr>
        <w:t>Стили лидерства и их влияние на деловые отношения.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39.  Особенности российской деловой культуры – в прошлом и настоящем.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 xml:space="preserve">40.  Национальные стили ведения переговоров. </w:t>
      </w:r>
      <w:proofErr w:type="gramStart"/>
      <w:r w:rsidRPr="001A24C9">
        <w:rPr>
          <w:sz w:val="20"/>
          <w:szCs w:val="20"/>
        </w:rPr>
        <w:t>Кросс-культурный</w:t>
      </w:r>
      <w:proofErr w:type="gramEnd"/>
      <w:r w:rsidRPr="001A24C9">
        <w:rPr>
          <w:sz w:val="20"/>
          <w:szCs w:val="20"/>
        </w:rPr>
        <w:t xml:space="preserve"> анализ обычаев делового общения.</w:t>
      </w:r>
    </w:p>
    <w:p w:rsidR="00AA1C39" w:rsidRPr="00B61123" w:rsidRDefault="00AA1C39" w:rsidP="00AA1C39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1A24C9">
        <w:rPr>
          <w:sz w:val="20"/>
          <w:szCs w:val="20"/>
        </w:rPr>
        <w:t xml:space="preserve">41.  </w:t>
      </w:r>
      <w:r w:rsidRPr="00B61123">
        <w:rPr>
          <w:sz w:val="20"/>
          <w:szCs w:val="20"/>
        </w:rPr>
        <w:t xml:space="preserve">Деловое общение как средство реализации управленческих функций руководителя. 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42.  Исторические предпосылки становления этики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43.  «Золотое правило этики» и характер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44.  Общие этические принципы и нормы делового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45.  Роль этикета и культуры поведения в бизнесе.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46.  Служебный этикет как унифицированная форма общения.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47.  Визитная карточка – краткий информатор о деловом партнере.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48.  Правила речевого общения в бизнесе.</w:t>
      </w:r>
    </w:p>
    <w:p w:rsidR="00AA1C39" w:rsidRPr="001A24C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49.  Культура и техника речи в презентации делового партнера.</w:t>
      </w:r>
    </w:p>
    <w:p w:rsidR="00AA1C39" w:rsidRDefault="00AA1C39" w:rsidP="00AA1C39">
      <w:pPr>
        <w:rPr>
          <w:sz w:val="20"/>
          <w:szCs w:val="20"/>
        </w:rPr>
      </w:pPr>
      <w:r w:rsidRPr="001A24C9">
        <w:rPr>
          <w:sz w:val="20"/>
          <w:szCs w:val="20"/>
        </w:rPr>
        <w:t>50.  Манера общения и имидж делового человека.</w:t>
      </w:r>
    </w:p>
    <w:p w:rsidR="00AA1C39" w:rsidRPr="00AA1C39" w:rsidRDefault="00AA1C39" w:rsidP="00AA1C39">
      <w:pPr>
        <w:jc w:val="both"/>
        <w:rPr>
          <w:b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Pr="00AA1C39">
        <w:rPr>
          <w:snapToGrid w:val="0"/>
          <w:sz w:val="20"/>
          <w:szCs w:val="20"/>
        </w:rPr>
        <w:t xml:space="preserve">1. Понятие и виды делового общения. </w:t>
      </w:r>
    </w:p>
    <w:p w:rsidR="00AA1C39" w:rsidRPr="00AA1C39" w:rsidRDefault="00AA1C39" w:rsidP="00AA1C39">
      <w:pPr>
        <w:jc w:val="both"/>
        <w:rPr>
          <w:b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Pr="00AA1C39">
        <w:rPr>
          <w:snapToGrid w:val="0"/>
          <w:sz w:val="20"/>
          <w:szCs w:val="20"/>
        </w:rPr>
        <w:t>2. Понятие коммуникации и виды коммуникаций.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5</w:t>
      </w:r>
      <w:r w:rsidRPr="00AA1C39">
        <w:rPr>
          <w:snapToGrid w:val="0"/>
          <w:sz w:val="20"/>
          <w:szCs w:val="20"/>
        </w:rPr>
        <w:t>3. Ошибки восприятия и механизмы восприятия и понимания.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Pr="00AA1C39">
        <w:rPr>
          <w:snapToGrid w:val="0"/>
          <w:sz w:val="20"/>
          <w:szCs w:val="20"/>
        </w:rPr>
        <w:t xml:space="preserve">4. Идентификация и </w:t>
      </w:r>
      <w:proofErr w:type="spellStart"/>
      <w:r w:rsidRPr="00AA1C39">
        <w:rPr>
          <w:snapToGrid w:val="0"/>
          <w:sz w:val="20"/>
          <w:szCs w:val="20"/>
        </w:rPr>
        <w:t>эмпатия</w:t>
      </w:r>
      <w:proofErr w:type="spellEnd"/>
      <w:r w:rsidRPr="00AA1C39">
        <w:rPr>
          <w:snapToGrid w:val="0"/>
          <w:sz w:val="20"/>
          <w:szCs w:val="20"/>
        </w:rPr>
        <w:t xml:space="preserve"> в деловом общении.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55</w:t>
      </w:r>
      <w:r w:rsidRPr="00AA1C39">
        <w:rPr>
          <w:snapToGrid w:val="0"/>
          <w:sz w:val="20"/>
          <w:szCs w:val="20"/>
        </w:rPr>
        <w:t>. Приемы речевого воздействия.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56</w:t>
      </w:r>
      <w:r w:rsidRPr="00AA1C39">
        <w:rPr>
          <w:snapToGrid w:val="0"/>
          <w:sz w:val="20"/>
          <w:szCs w:val="20"/>
        </w:rPr>
        <w:t>. Коммуникационные эффекты при вербальном общении.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57</w:t>
      </w:r>
      <w:r w:rsidRPr="00AA1C39">
        <w:rPr>
          <w:snapToGrid w:val="0"/>
          <w:sz w:val="20"/>
          <w:szCs w:val="20"/>
        </w:rPr>
        <w:t>. Невербальное общение. Понятие, основные характеристики.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58</w:t>
      </w:r>
      <w:r w:rsidRPr="00AA1C39">
        <w:rPr>
          <w:snapToGrid w:val="0"/>
          <w:sz w:val="20"/>
          <w:szCs w:val="20"/>
        </w:rPr>
        <w:t>. Системы невербальных коммуникаций.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59</w:t>
      </w:r>
      <w:r w:rsidRPr="00AA1C39">
        <w:rPr>
          <w:snapToGrid w:val="0"/>
          <w:sz w:val="20"/>
          <w:szCs w:val="20"/>
        </w:rPr>
        <w:t>. 0бщая классификация невербальных средств общения.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60</w:t>
      </w:r>
      <w:r w:rsidRPr="00AA1C39">
        <w:rPr>
          <w:snapToGrid w:val="0"/>
          <w:sz w:val="20"/>
          <w:szCs w:val="20"/>
        </w:rPr>
        <w:t>. Проксемические особенности невербального общения.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61</w:t>
      </w:r>
      <w:r w:rsidRPr="00AA1C39">
        <w:rPr>
          <w:snapToGrid w:val="0"/>
          <w:sz w:val="20"/>
          <w:szCs w:val="20"/>
        </w:rPr>
        <w:t xml:space="preserve">. </w:t>
      </w:r>
      <w:proofErr w:type="spellStart"/>
      <w:r w:rsidRPr="00AA1C39">
        <w:rPr>
          <w:snapToGrid w:val="0"/>
          <w:sz w:val="20"/>
          <w:szCs w:val="20"/>
        </w:rPr>
        <w:t>Кинесические</w:t>
      </w:r>
      <w:proofErr w:type="spellEnd"/>
      <w:r w:rsidRPr="00AA1C39">
        <w:rPr>
          <w:snapToGrid w:val="0"/>
          <w:sz w:val="20"/>
          <w:szCs w:val="20"/>
        </w:rPr>
        <w:t xml:space="preserve"> средства невербального общения.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62</w:t>
      </w:r>
      <w:r w:rsidRPr="00AA1C39">
        <w:rPr>
          <w:snapToGrid w:val="0"/>
          <w:sz w:val="20"/>
          <w:szCs w:val="20"/>
        </w:rPr>
        <w:t>. Просодические особенности невербального общения.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63</w:t>
      </w:r>
      <w:r w:rsidRPr="00AA1C39">
        <w:rPr>
          <w:snapToGrid w:val="0"/>
          <w:sz w:val="20"/>
          <w:szCs w:val="20"/>
        </w:rPr>
        <w:t xml:space="preserve">. </w:t>
      </w:r>
      <w:proofErr w:type="spellStart"/>
      <w:r w:rsidRPr="00AA1C39">
        <w:rPr>
          <w:snapToGrid w:val="0"/>
          <w:sz w:val="20"/>
          <w:szCs w:val="20"/>
        </w:rPr>
        <w:t>Такесические</w:t>
      </w:r>
      <w:proofErr w:type="spellEnd"/>
      <w:r w:rsidRPr="00AA1C39">
        <w:rPr>
          <w:snapToGrid w:val="0"/>
          <w:sz w:val="20"/>
          <w:szCs w:val="20"/>
        </w:rPr>
        <w:t xml:space="preserve"> особенности делового общения.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64</w:t>
      </w:r>
      <w:r w:rsidRPr="00AA1C39">
        <w:rPr>
          <w:snapToGrid w:val="0"/>
          <w:sz w:val="20"/>
          <w:szCs w:val="20"/>
        </w:rPr>
        <w:t xml:space="preserve">. Особенности </w:t>
      </w:r>
      <w:r>
        <w:rPr>
          <w:snapToGrid w:val="0"/>
          <w:sz w:val="20"/>
          <w:szCs w:val="20"/>
        </w:rPr>
        <w:t>слушания в деловой коммуникации</w:t>
      </w:r>
      <w:r w:rsidRPr="00AA1C39">
        <w:rPr>
          <w:snapToGrid w:val="0"/>
          <w:sz w:val="20"/>
          <w:szCs w:val="20"/>
        </w:rPr>
        <w:t>. Барьеры, мешающие эффективному слушанию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65</w:t>
      </w:r>
      <w:r w:rsidRPr="00AA1C39">
        <w:rPr>
          <w:snapToGrid w:val="0"/>
          <w:sz w:val="20"/>
          <w:szCs w:val="20"/>
        </w:rPr>
        <w:t>. Принципы группового взаимодействия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66</w:t>
      </w:r>
      <w:r w:rsidRPr="00AA1C39">
        <w:rPr>
          <w:snapToGrid w:val="0"/>
          <w:sz w:val="20"/>
          <w:szCs w:val="20"/>
        </w:rPr>
        <w:t xml:space="preserve">. </w:t>
      </w:r>
      <w:bookmarkStart w:id="0" w:name="_GoBack"/>
      <w:bookmarkEnd w:id="0"/>
      <w:r w:rsidRPr="00AA1C39">
        <w:rPr>
          <w:snapToGrid w:val="0"/>
          <w:sz w:val="20"/>
          <w:szCs w:val="20"/>
        </w:rPr>
        <w:t xml:space="preserve">Способы </w:t>
      </w:r>
      <w:proofErr w:type="spellStart"/>
      <w:r w:rsidRPr="00AA1C39">
        <w:rPr>
          <w:snapToGrid w:val="0"/>
          <w:sz w:val="20"/>
          <w:szCs w:val="20"/>
        </w:rPr>
        <w:t>самопрезентации</w:t>
      </w:r>
      <w:proofErr w:type="spellEnd"/>
      <w:r w:rsidRPr="00AA1C39">
        <w:rPr>
          <w:snapToGrid w:val="0"/>
          <w:sz w:val="20"/>
          <w:szCs w:val="20"/>
        </w:rPr>
        <w:t>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67</w:t>
      </w:r>
      <w:r w:rsidRPr="00AA1C39">
        <w:rPr>
          <w:snapToGrid w:val="0"/>
          <w:sz w:val="20"/>
          <w:szCs w:val="20"/>
        </w:rPr>
        <w:t xml:space="preserve">. Методы  воздействия в деловом общении. 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68</w:t>
      </w:r>
      <w:r w:rsidRPr="00AA1C39">
        <w:rPr>
          <w:snapToGrid w:val="0"/>
          <w:sz w:val="20"/>
          <w:szCs w:val="20"/>
        </w:rPr>
        <w:t>. Правила конструктивной критики.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69</w:t>
      </w:r>
      <w:r w:rsidRPr="00AA1C39">
        <w:rPr>
          <w:snapToGrid w:val="0"/>
          <w:sz w:val="20"/>
          <w:szCs w:val="20"/>
        </w:rPr>
        <w:t xml:space="preserve">. Правила ведения делового телефонного разговора. </w:t>
      </w:r>
    </w:p>
    <w:p w:rsidR="00AA1C39" w:rsidRPr="00AA1C39" w:rsidRDefault="00AA1C39" w:rsidP="00AA1C3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70</w:t>
      </w:r>
      <w:r w:rsidRPr="00AA1C39">
        <w:rPr>
          <w:snapToGrid w:val="0"/>
          <w:sz w:val="20"/>
          <w:szCs w:val="20"/>
        </w:rPr>
        <w:t>. Конфли</w:t>
      </w:r>
      <w:r>
        <w:rPr>
          <w:snapToGrid w:val="0"/>
          <w:sz w:val="20"/>
          <w:szCs w:val="20"/>
        </w:rPr>
        <w:t>кты в процессе делового общения</w:t>
      </w:r>
      <w:r w:rsidRPr="00AA1C39">
        <w:rPr>
          <w:snapToGrid w:val="0"/>
          <w:sz w:val="20"/>
          <w:szCs w:val="20"/>
        </w:rPr>
        <w:t xml:space="preserve">. Особенности управления конфликтами в организациях.  </w:t>
      </w:r>
    </w:p>
    <w:p w:rsidR="00AA1C39" w:rsidRDefault="00AA1C39"/>
    <w:p w:rsidR="00AA1C39" w:rsidRDefault="00AA1C39"/>
    <w:sectPr w:rsidR="00AA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7F6"/>
    <w:multiLevelType w:val="hybridMultilevel"/>
    <w:tmpl w:val="3616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39"/>
    <w:rsid w:val="003F799B"/>
    <w:rsid w:val="004E021C"/>
    <w:rsid w:val="004E2109"/>
    <w:rsid w:val="00A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1C39"/>
    <w:pPr>
      <w:numPr>
        <w:numId w:val="1"/>
      </w:num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1C39"/>
    <w:pPr>
      <w:numPr>
        <w:numId w:val="1"/>
      </w:num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2</cp:revision>
  <cp:lastPrinted>2021-10-01T07:09:00Z</cp:lastPrinted>
  <dcterms:created xsi:type="dcterms:W3CDTF">2021-10-01T07:05:00Z</dcterms:created>
  <dcterms:modified xsi:type="dcterms:W3CDTF">2021-10-01T08:29:00Z</dcterms:modified>
</cp:coreProperties>
</file>