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2D" w:rsidRPr="00BE6D12" w:rsidRDefault="00AF1C2D" w:rsidP="00AF1C2D">
      <w:pPr>
        <w:pStyle w:val="ad"/>
        <w:shd w:val="clear" w:color="auto" w:fill="FFFFFF"/>
        <w:spacing w:before="240" w:beforeAutospacing="0" w:after="240" w:afterAutospacing="0"/>
        <w:ind w:right="240"/>
        <w:jc w:val="center"/>
        <w:rPr>
          <w:color w:val="424242"/>
        </w:rPr>
      </w:pPr>
      <w:r>
        <w:rPr>
          <w:color w:val="424242"/>
        </w:rPr>
        <w:t>Код систем стандартов</w:t>
      </w:r>
    </w:p>
    <w:tbl>
      <w:tblPr>
        <w:tblW w:w="0" w:type="auto"/>
        <w:tblCellSpacing w:w="15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8"/>
        <w:gridCol w:w="6265"/>
        <w:gridCol w:w="1902"/>
      </w:tblGrid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 xml:space="preserve">Номер 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Наименование комплекса (системы) стандартов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Аббревиатура комплекса (системы)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1.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Стандартизация в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–  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2.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Единая система конструкторской документации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ЕСКД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3.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Единая система технологической документации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ЕСТД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4.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Система показателей качества продукции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СПКП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6.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Унифицированные система документации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УСД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7.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Система стандартов по информации, библиотечному и издательскому делу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СИБИД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8.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Государственная система обеспечения единства измерений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ГСИ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9.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Единая система защиты от коррозии и старения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ЕСЗКС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10.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Система стандартов информационного моделирования зданий и сооружений.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12.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Система стандартов безопасности труда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ССБТ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13.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0E65C0" w:rsidP="00EE63D9">
            <w:pPr>
              <w:rPr>
                <w:color w:val="424242"/>
              </w:rPr>
            </w:pPr>
            <w:r>
              <w:rPr>
                <w:color w:val="424242"/>
              </w:rPr>
              <w:t>Репрография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–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14.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Экологический менеджмент.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15.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Система разработки и постановки продукции на производство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СРПП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17.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Охрана природы.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ССОП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18.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0E65C0" w:rsidP="000E65C0">
            <w:pPr>
              <w:rPr>
                <w:color w:val="424242"/>
              </w:rPr>
            </w:pPr>
            <w:r>
              <w:rPr>
                <w:color w:val="424242"/>
              </w:rPr>
              <w:t xml:space="preserve">Технологии </w:t>
            </w:r>
            <w:proofErr w:type="spellStart"/>
            <w:r>
              <w:rPr>
                <w:color w:val="424242"/>
              </w:rPr>
              <w:t>авиатопливообеспечения</w:t>
            </w:r>
            <w:bookmarkStart w:id="0" w:name="_GoBack"/>
            <w:bookmarkEnd w:id="0"/>
            <w:proofErr w:type="spellEnd"/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–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19.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Единая система программной документации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ЕСПД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21.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Система проектной документации для строительства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СПДС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22.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Безопасность в чрезвычайных ситуациях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–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23.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Обеспечение износостойкости изделий.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–</w:t>
            </w:r>
          </w:p>
        </w:tc>
      </w:tr>
      <w:tr w:rsidR="000E65C0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5C0" w:rsidRDefault="000E65C0" w:rsidP="00EE63D9">
            <w:pPr>
              <w:rPr>
                <w:color w:val="424242"/>
              </w:rPr>
            </w:pPr>
            <w:r>
              <w:rPr>
                <w:color w:val="424242"/>
              </w:rPr>
              <w:t>24.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5C0" w:rsidRPr="000E65C0" w:rsidRDefault="000E65C0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Система технической документации на АСУ.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5C0" w:rsidRPr="004013B6" w:rsidRDefault="000E65C0" w:rsidP="00EE63D9">
            <w:pPr>
              <w:rPr>
                <w:color w:val="424242"/>
              </w:rPr>
            </w:pPr>
          </w:p>
        </w:tc>
      </w:tr>
      <w:tr w:rsidR="000E65C0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5C0" w:rsidRDefault="000E65C0" w:rsidP="00EE63D9">
            <w:pPr>
              <w:rPr>
                <w:color w:val="424242"/>
              </w:rPr>
            </w:pPr>
            <w:r>
              <w:rPr>
                <w:color w:val="424242"/>
              </w:rPr>
              <w:t>26.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5C0" w:rsidRPr="000E65C0" w:rsidRDefault="000E65C0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Система стандартов приборостроения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65C0" w:rsidRPr="004013B6" w:rsidRDefault="000E65C0" w:rsidP="00EE63D9">
            <w:pPr>
              <w:rPr>
                <w:color w:val="424242"/>
              </w:rPr>
            </w:pP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27.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Система стандартов “Надежность в технике”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ССНТ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28.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Система технического обслуживания и ремонта техники 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–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29.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Система стандартов эргономических требований и эргономического обеспечения.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E705E3">
              <w:rPr>
                <w:color w:val="FF0000"/>
              </w:rPr>
              <w:t>30</w:t>
            </w:r>
            <w:r>
              <w:rPr>
                <w:color w:val="424242"/>
              </w:rPr>
              <w:t>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394F38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Система стандартов эргономики и технической эстетики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–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31.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0E65C0" w:rsidP="00EE63D9">
            <w:pPr>
              <w:rPr>
                <w:color w:val="424242"/>
              </w:rPr>
            </w:pPr>
            <w:r>
              <w:rPr>
                <w:color w:val="424242"/>
              </w:rPr>
              <w:t>Технологическая оснастка</w:t>
            </w:r>
            <w:r w:rsidR="00AF1C2D">
              <w:rPr>
                <w:color w:val="424242"/>
              </w:rPr>
              <w:t xml:space="preserve">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–</w:t>
            </w:r>
          </w:p>
        </w:tc>
      </w:tr>
      <w:tr w:rsidR="00AF1C2D" w:rsidRPr="00394F38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394F38" w:rsidRDefault="00AF1C2D" w:rsidP="00EE63D9">
            <w:pPr>
              <w:rPr>
                <w:color w:val="424242"/>
              </w:rPr>
            </w:pPr>
            <w:r w:rsidRPr="00394F38">
              <w:rPr>
                <w:color w:val="424242"/>
              </w:rPr>
              <w:t>33.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Единый российский страховой фонд документации.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394F38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–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34.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Информационные технологии 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–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40.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 xml:space="preserve">Система сертификации ГОСТ </w:t>
            </w:r>
            <w:proofErr w:type="gramStart"/>
            <w:r w:rsidRPr="000E65C0">
              <w:rPr>
                <w:color w:val="424242"/>
              </w:rPr>
              <w:t>Р</w:t>
            </w:r>
            <w:proofErr w:type="gramEnd"/>
            <w:r w:rsidRPr="000E65C0">
              <w:rPr>
                <w:color w:val="424242"/>
              </w:rPr>
              <w:t xml:space="preserve"> 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–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 xml:space="preserve">41. 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Единообразные предписания, касающиеся официального утверждения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42.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Гражданская оборона.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lastRenderedPageBreak/>
              <w:t>43.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Информационное обеспечение техники и операторской деятельности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  <w:r w:rsidRPr="004013B6">
              <w:rPr>
                <w:color w:val="424242"/>
              </w:rPr>
              <w:t>–</w:t>
            </w: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50.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Система оценки соответствия в области использования атомной энергии.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113.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Наилучшие доступные технологии.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4013B6" w:rsidRDefault="00AF1C2D" w:rsidP="00EE63D9">
            <w:pPr>
              <w:rPr>
                <w:color w:val="424242"/>
              </w:rPr>
            </w:pP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50030</w:t>
            </w:r>
            <w:r w:rsidR="000E65C0">
              <w:rPr>
                <w:color w:val="424242"/>
              </w:rPr>
              <w:t>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Аппаратура распределения и управления низковольтная.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50267</w:t>
            </w:r>
            <w:r w:rsidR="000E65C0">
              <w:rPr>
                <w:color w:val="424242"/>
              </w:rPr>
              <w:t>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Изделия медицинские электрические.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50279</w:t>
            </w:r>
            <w:r w:rsidR="000E65C0">
              <w:rPr>
                <w:color w:val="424242"/>
              </w:rPr>
              <w:t>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Материалы лакокрасочные.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50779</w:t>
            </w:r>
            <w:r w:rsidR="000E65C0">
              <w:rPr>
                <w:color w:val="424242"/>
              </w:rPr>
              <w:t>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Статистические методы.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51901</w:t>
            </w:r>
            <w:r w:rsidR="000E65C0">
              <w:rPr>
                <w:color w:val="424242"/>
              </w:rPr>
              <w:t>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Менеджмент риска.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</w:p>
        </w:tc>
      </w:tr>
      <w:tr w:rsidR="00AF1C2D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Default="00AF1C2D" w:rsidP="00EE63D9">
            <w:pPr>
              <w:rPr>
                <w:color w:val="424242"/>
              </w:rPr>
            </w:pPr>
            <w:r>
              <w:rPr>
                <w:color w:val="424242"/>
              </w:rPr>
              <w:t>53579</w:t>
            </w:r>
            <w:r w:rsidR="000E65C0">
              <w:rPr>
                <w:color w:val="424242"/>
              </w:rPr>
              <w:t>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 xml:space="preserve">Система стандартов в области </w:t>
            </w:r>
            <w:r w:rsidR="000E65C0" w:rsidRPr="000E65C0">
              <w:rPr>
                <w:color w:val="424242"/>
              </w:rPr>
              <w:t xml:space="preserve">геологического изучения недр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C2D" w:rsidRPr="000E65C0" w:rsidRDefault="00AF1C2D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СОГИН</w:t>
            </w:r>
          </w:p>
        </w:tc>
      </w:tr>
      <w:tr w:rsidR="00BA6BC8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BC8" w:rsidRDefault="00BA6BC8" w:rsidP="00EE63D9">
            <w:pPr>
              <w:rPr>
                <w:color w:val="424242"/>
              </w:rPr>
            </w:pPr>
            <w:r>
              <w:rPr>
                <w:color w:val="424242"/>
              </w:rPr>
              <w:t>60.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BC8" w:rsidRPr="000E65C0" w:rsidRDefault="00BA6BC8" w:rsidP="00EE63D9">
            <w:pPr>
              <w:rPr>
                <w:color w:val="424242"/>
              </w:rPr>
            </w:pPr>
            <w:r w:rsidRPr="000E65C0">
              <w:rPr>
                <w:color w:val="424242"/>
              </w:rPr>
              <w:t>Роботы и робототехнические устройства.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BC8" w:rsidRPr="000E65C0" w:rsidRDefault="00BA6BC8" w:rsidP="00EE63D9">
            <w:pPr>
              <w:rPr>
                <w:color w:val="424242"/>
              </w:rPr>
            </w:pPr>
          </w:p>
        </w:tc>
      </w:tr>
      <w:tr w:rsidR="00BA6BC8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BC8" w:rsidRDefault="00BA6BC8" w:rsidP="00EE63D9">
            <w:pPr>
              <w:rPr>
                <w:color w:val="424242"/>
              </w:rPr>
            </w:pPr>
            <w:r>
              <w:rPr>
                <w:color w:val="424242"/>
              </w:rPr>
              <w:t>66</w:t>
            </w:r>
            <w:r w:rsidR="000E65C0">
              <w:rPr>
                <w:color w:val="424242"/>
              </w:rPr>
              <w:t>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BC8" w:rsidRPr="000E65C0" w:rsidRDefault="00BA6BC8" w:rsidP="00BA6BC8">
            <w:pPr>
              <w:rPr>
                <w:color w:val="424242"/>
              </w:rPr>
            </w:pPr>
            <w:r w:rsidRPr="000E65C0">
              <w:rPr>
                <w:color w:val="424242"/>
              </w:rPr>
              <w:t>Оценка опыта и деловой репутации субъектов предпринимательской деятельности. Национальная система стандартов.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BC8" w:rsidRPr="000E65C0" w:rsidRDefault="00BA6BC8" w:rsidP="00EE63D9">
            <w:pPr>
              <w:rPr>
                <w:color w:val="424242"/>
              </w:rPr>
            </w:pPr>
          </w:p>
        </w:tc>
      </w:tr>
      <w:tr w:rsidR="00BA6BC8" w:rsidRPr="004013B6" w:rsidTr="00EE63D9">
        <w:trPr>
          <w:tblCellSpacing w:w="15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BC8" w:rsidRDefault="00BA6BC8" w:rsidP="00EE63D9">
            <w:pPr>
              <w:rPr>
                <w:color w:val="424242"/>
              </w:rPr>
            </w:pPr>
            <w:r>
              <w:rPr>
                <w:color w:val="424242"/>
              </w:rPr>
              <w:t>702</w:t>
            </w:r>
            <w:r w:rsidR="000E65C0">
              <w:rPr>
                <w:color w:val="424242"/>
              </w:rPr>
              <w:t>.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BC8" w:rsidRPr="000E65C0" w:rsidRDefault="00BA6BC8" w:rsidP="00BA6BC8">
            <w:pPr>
              <w:rPr>
                <w:color w:val="424242"/>
              </w:rPr>
            </w:pPr>
            <w:r w:rsidRPr="000E65C0">
              <w:rPr>
                <w:color w:val="424242"/>
              </w:rPr>
              <w:t>Российская система качества.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BC8" w:rsidRPr="000E65C0" w:rsidRDefault="00BA6BC8" w:rsidP="00EE63D9">
            <w:pPr>
              <w:rPr>
                <w:color w:val="424242"/>
              </w:rPr>
            </w:pPr>
          </w:p>
        </w:tc>
      </w:tr>
    </w:tbl>
    <w:p w:rsidR="00FF52BB" w:rsidRDefault="00FF52BB"/>
    <w:sectPr w:rsidR="00FF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2D"/>
    <w:rsid w:val="000E65C0"/>
    <w:rsid w:val="00246C14"/>
    <w:rsid w:val="0030630E"/>
    <w:rsid w:val="00407A1A"/>
    <w:rsid w:val="005C0500"/>
    <w:rsid w:val="009A2C85"/>
    <w:rsid w:val="00AF1C2D"/>
    <w:rsid w:val="00BA6BC8"/>
    <w:rsid w:val="00CC0D98"/>
    <w:rsid w:val="00CE713C"/>
    <w:rsid w:val="00CF1E0A"/>
    <w:rsid w:val="00EF6E4F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2D"/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widowControl w:val="0"/>
      <w:spacing w:before="280" w:after="280"/>
      <w:outlineLvl w:val="0"/>
    </w:pPr>
    <w:rPr>
      <w:rFonts w:cs="Courier New"/>
      <w:b/>
      <w:bCs/>
      <w:color w:val="000000"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widowControl w:val="0"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widowControl w:val="0"/>
      <w:spacing w:before="240" w:after="60"/>
      <w:outlineLvl w:val="3"/>
    </w:pPr>
    <w:rPr>
      <w:rFonts w:cs="Courier New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EF6E4F"/>
    <w:pPr>
      <w:widowControl w:val="0"/>
      <w:spacing w:before="240" w:after="60"/>
      <w:outlineLvl w:val="4"/>
    </w:pPr>
    <w:rPr>
      <w:rFonts w:cs="Courier New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widowControl w:val="0"/>
      <w:spacing w:before="240" w:after="60"/>
      <w:outlineLvl w:val="5"/>
    </w:pPr>
    <w:rPr>
      <w:rFonts w:cs="Courier New"/>
      <w:b/>
      <w:bCs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widowControl w:val="0"/>
      <w:spacing w:after="120"/>
    </w:pPr>
    <w:rPr>
      <w:rFonts w:cs="Courier New"/>
      <w:color w:val="000000"/>
      <w:sz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widowControl w:val="0"/>
      <w:suppressLineNumbers/>
      <w:spacing w:before="120" w:after="120"/>
    </w:pPr>
    <w:rPr>
      <w:rFonts w:cs="Mangal"/>
      <w:i/>
      <w:iCs/>
      <w:color w:val="000000"/>
    </w:rPr>
  </w:style>
  <w:style w:type="paragraph" w:styleId="a6">
    <w:name w:val="Title"/>
    <w:basedOn w:val="a"/>
    <w:link w:val="a7"/>
    <w:qFormat/>
    <w:rsid w:val="00EF6E4F"/>
    <w:pPr>
      <w:widowControl w:val="0"/>
      <w:jc w:val="center"/>
    </w:pPr>
    <w:rPr>
      <w:color w:val="000000"/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widowControl w:val="0"/>
      <w:spacing w:line="256" w:lineRule="auto"/>
      <w:ind w:left="720"/>
      <w:contextualSpacing/>
    </w:pPr>
    <w:rPr>
      <w:rFonts w:eastAsia="Calibri"/>
      <w:color w:val="000000"/>
      <w:sz w:val="28"/>
    </w:rPr>
  </w:style>
  <w:style w:type="paragraph" w:customStyle="1" w:styleId="ab">
    <w:name w:val="Заголовок"/>
    <w:basedOn w:val="a"/>
    <w:link w:val="ac"/>
    <w:autoRedefine/>
    <w:qFormat/>
    <w:rsid w:val="00CC0D98"/>
    <w:pPr>
      <w:widowControl w:val="0"/>
      <w:spacing w:before="200" w:after="200"/>
      <w:jc w:val="both"/>
    </w:pPr>
    <w:rPr>
      <w:rFonts w:eastAsiaTheme="minorEastAsia"/>
      <w:color w:val="000000"/>
      <w:sz w:val="28"/>
      <w:szCs w:val="28"/>
    </w:rPr>
  </w:style>
  <w:style w:type="character" w:customStyle="1" w:styleId="ac">
    <w:name w:val="Заголовок Знак"/>
    <w:basedOn w:val="a1"/>
    <w:link w:val="ab"/>
    <w:rsid w:val="00CC0D98"/>
    <w:rPr>
      <w:rFonts w:eastAsiaTheme="minorEastAsia" w:cs="Times New Roman"/>
      <w:szCs w:val="28"/>
    </w:rPr>
  </w:style>
  <w:style w:type="paragraph" w:styleId="ad">
    <w:name w:val="Normal (Web)"/>
    <w:basedOn w:val="a"/>
    <w:rsid w:val="00AF1C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2D"/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widowControl w:val="0"/>
      <w:spacing w:before="280" w:after="280"/>
      <w:outlineLvl w:val="0"/>
    </w:pPr>
    <w:rPr>
      <w:rFonts w:cs="Courier New"/>
      <w:b/>
      <w:bCs/>
      <w:color w:val="000000"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widowControl w:val="0"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widowControl w:val="0"/>
      <w:spacing w:before="240" w:after="60"/>
      <w:outlineLvl w:val="3"/>
    </w:pPr>
    <w:rPr>
      <w:rFonts w:cs="Courier New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EF6E4F"/>
    <w:pPr>
      <w:widowControl w:val="0"/>
      <w:spacing w:before="240" w:after="60"/>
      <w:outlineLvl w:val="4"/>
    </w:pPr>
    <w:rPr>
      <w:rFonts w:cs="Courier New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widowControl w:val="0"/>
      <w:spacing w:before="240" w:after="60"/>
      <w:outlineLvl w:val="5"/>
    </w:pPr>
    <w:rPr>
      <w:rFonts w:cs="Courier New"/>
      <w:b/>
      <w:bCs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widowControl w:val="0"/>
      <w:spacing w:after="120"/>
    </w:pPr>
    <w:rPr>
      <w:rFonts w:cs="Courier New"/>
      <w:color w:val="000000"/>
      <w:sz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widowControl w:val="0"/>
      <w:suppressLineNumbers/>
      <w:spacing w:before="120" w:after="120"/>
    </w:pPr>
    <w:rPr>
      <w:rFonts w:cs="Mangal"/>
      <w:i/>
      <w:iCs/>
      <w:color w:val="000000"/>
    </w:rPr>
  </w:style>
  <w:style w:type="paragraph" w:styleId="a6">
    <w:name w:val="Title"/>
    <w:basedOn w:val="a"/>
    <w:link w:val="a7"/>
    <w:qFormat/>
    <w:rsid w:val="00EF6E4F"/>
    <w:pPr>
      <w:widowControl w:val="0"/>
      <w:jc w:val="center"/>
    </w:pPr>
    <w:rPr>
      <w:color w:val="000000"/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widowControl w:val="0"/>
      <w:spacing w:line="256" w:lineRule="auto"/>
      <w:ind w:left="720"/>
      <w:contextualSpacing/>
    </w:pPr>
    <w:rPr>
      <w:rFonts w:eastAsia="Calibri"/>
      <w:color w:val="000000"/>
      <w:sz w:val="28"/>
    </w:rPr>
  </w:style>
  <w:style w:type="paragraph" w:customStyle="1" w:styleId="ab">
    <w:name w:val="Заголовок"/>
    <w:basedOn w:val="a"/>
    <w:link w:val="ac"/>
    <w:autoRedefine/>
    <w:qFormat/>
    <w:rsid w:val="00CC0D98"/>
    <w:pPr>
      <w:widowControl w:val="0"/>
      <w:spacing w:before="200" w:after="200"/>
      <w:jc w:val="both"/>
    </w:pPr>
    <w:rPr>
      <w:rFonts w:eastAsiaTheme="minorEastAsia"/>
      <w:color w:val="000000"/>
      <w:sz w:val="28"/>
      <w:szCs w:val="28"/>
    </w:rPr>
  </w:style>
  <w:style w:type="character" w:customStyle="1" w:styleId="ac">
    <w:name w:val="Заголовок Знак"/>
    <w:basedOn w:val="a1"/>
    <w:link w:val="ab"/>
    <w:rsid w:val="00CC0D98"/>
    <w:rPr>
      <w:rFonts w:eastAsiaTheme="minorEastAsia" w:cs="Times New Roman"/>
      <w:szCs w:val="28"/>
    </w:rPr>
  </w:style>
  <w:style w:type="paragraph" w:styleId="ad">
    <w:name w:val="Normal (Web)"/>
    <w:basedOn w:val="a"/>
    <w:rsid w:val="00AF1C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4</cp:revision>
  <dcterms:created xsi:type="dcterms:W3CDTF">2022-12-22T13:08:00Z</dcterms:created>
  <dcterms:modified xsi:type="dcterms:W3CDTF">2022-12-28T14:51:00Z</dcterms:modified>
</cp:coreProperties>
</file>